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FD9" w:rsidRPr="005E7FD9" w:rsidRDefault="005E7FD9" w:rsidP="005E7FD9">
      <w:pPr>
        <w:rPr>
          <w:rFonts w:ascii="Century Gothic" w:eastAsia="Calibri" w:hAnsi="Century Gothic"/>
          <w:sz w:val="44"/>
          <w:szCs w:val="44"/>
          <w:lang w:eastAsia="en-US"/>
        </w:rPr>
      </w:pPr>
      <w:bookmarkStart w:id="0" w:name="_GoBack"/>
      <w:bookmarkEnd w:id="0"/>
      <w:r w:rsidRPr="005E7FD9">
        <w:rPr>
          <w:rFonts w:ascii="Century Gothic" w:eastAsia="Calibri" w:hAnsi="Century Gothic"/>
          <w:noProof/>
          <w:sz w:val="44"/>
          <w:szCs w:val="44"/>
          <w:u w:val="single"/>
        </w:rPr>
        <w:drawing>
          <wp:anchor distT="0" distB="0" distL="114300" distR="114300" simplePos="0" relativeHeight="251660288" behindDoc="0" locked="0" layoutInCell="1" allowOverlap="1" wp14:anchorId="3B9F1EF0" wp14:editId="6272BF1E">
            <wp:simplePos x="0" y="0"/>
            <wp:positionH relativeFrom="margin">
              <wp:align>right</wp:align>
            </wp:positionH>
            <wp:positionV relativeFrom="paragraph">
              <wp:posOffset>24130</wp:posOffset>
            </wp:positionV>
            <wp:extent cx="1061085" cy="784860"/>
            <wp:effectExtent l="0" t="0" r="5715" b="0"/>
            <wp:wrapThrough wrapText="bothSides">
              <wp:wrapPolygon edited="0">
                <wp:start x="0" y="0"/>
                <wp:lineTo x="0" y="20971"/>
                <wp:lineTo x="21329" y="20971"/>
                <wp:lineTo x="21329"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1085" cy="784860"/>
                    </a:xfrm>
                    <a:prstGeom prst="rect">
                      <a:avLst/>
                    </a:prstGeom>
                    <a:noFill/>
                  </pic:spPr>
                </pic:pic>
              </a:graphicData>
            </a:graphic>
          </wp:anchor>
        </w:drawing>
      </w:r>
      <w:r w:rsidRPr="005E7FD9">
        <w:rPr>
          <w:rFonts w:ascii="Century Gothic" w:hAnsi="Century Gothic"/>
          <w:noProof/>
          <w:sz w:val="44"/>
          <w:szCs w:val="44"/>
        </w:rPr>
        <w:drawing>
          <wp:anchor distT="0" distB="0" distL="114300" distR="114300" simplePos="0" relativeHeight="251659264" behindDoc="0" locked="0" layoutInCell="1" allowOverlap="1" wp14:anchorId="671ACB3F" wp14:editId="09F41891">
            <wp:simplePos x="0" y="0"/>
            <wp:positionH relativeFrom="column">
              <wp:align>left</wp:align>
            </wp:positionH>
            <wp:positionV relativeFrom="paragraph">
              <wp:align>top</wp:align>
            </wp:positionV>
            <wp:extent cx="662940" cy="876300"/>
            <wp:effectExtent l="0" t="0" r="3810" b="0"/>
            <wp:wrapSquare wrapText="bothSides"/>
            <wp:docPr id="1" name="Immagine 1" descr="logo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comu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876300"/>
                    </a:xfrm>
                    <a:prstGeom prst="rect">
                      <a:avLst/>
                    </a:prstGeom>
                    <a:noFill/>
                  </pic:spPr>
                </pic:pic>
              </a:graphicData>
            </a:graphic>
            <wp14:sizeRelH relativeFrom="page">
              <wp14:pctWidth>0</wp14:pctWidth>
            </wp14:sizeRelH>
            <wp14:sizeRelV relativeFrom="page">
              <wp14:pctHeight>0</wp14:pctHeight>
            </wp14:sizeRelV>
          </wp:anchor>
        </w:drawing>
      </w:r>
      <w:r w:rsidRPr="005E7FD9">
        <w:rPr>
          <w:rFonts w:ascii="Century Gothic" w:eastAsia="Calibri" w:hAnsi="Century Gothic"/>
          <w:b/>
          <w:sz w:val="44"/>
          <w:szCs w:val="44"/>
          <w:lang w:eastAsia="en-US"/>
        </w:rPr>
        <w:t xml:space="preserve">                               </w:t>
      </w:r>
      <w:r>
        <w:rPr>
          <w:rFonts w:ascii="Century Gothic" w:eastAsia="Calibri" w:hAnsi="Century Gothic"/>
          <w:b/>
          <w:sz w:val="44"/>
          <w:szCs w:val="44"/>
          <w:lang w:eastAsia="en-US"/>
        </w:rPr>
        <w:t xml:space="preserve">    </w:t>
      </w:r>
      <w:r w:rsidRPr="005E7FD9">
        <w:rPr>
          <w:rFonts w:ascii="Century Gothic" w:eastAsia="Calibri" w:hAnsi="Century Gothic"/>
          <w:sz w:val="44"/>
          <w:szCs w:val="44"/>
          <w:lang w:eastAsia="en-US"/>
        </w:rPr>
        <w:t>Comune di Porano</w:t>
      </w:r>
    </w:p>
    <w:p w:rsidR="005E7FD9" w:rsidRPr="005E7FD9" w:rsidRDefault="005E7FD9" w:rsidP="005E7FD9">
      <w:pPr>
        <w:ind w:left="708"/>
        <w:jc w:val="center"/>
        <w:rPr>
          <w:rFonts w:ascii="Century Gothic" w:eastAsia="Calibri" w:hAnsi="Century Gothic"/>
          <w:b/>
          <w:i/>
          <w:sz w:val="44"/>
          <w:szCs w:val="44"/>
          <w:lang w:eastAsia="en-US"/>
        </w:rPr>
      </w:pPr>
      <w:r>
        <w:rPr>
          <w:rFonts w:ascii="Century Gothic" w:eastAsia="Calibri" w:hAnsi="Century Gothic"/>
          <w:i/>
          <w:sz w:val="44"/>
          <w:szCs w:val="44"/>
          <w:u w:val="single"/>
          <w:lang w:eastAsia="en-US"/>
        </w:rPr>
        <w:t xml:space="preserve">        </w:t>
      </w:r>
      <w:r w:rsidRPr="005E7FD9">
        <w:rPr>
          <w:rFonts w:ascii="Century Gothic" w:eastAsia="Calibri" w:hAnsi="Century Gothic"/>
          <w:i/>
          <w:sz w:val="44"/>
          <w:szCs w:val="44"/>
          <w:u w:val="single"/>
          <w:lang w:eastAsia="en-US"/>
        </w:rPr>
        <w:t xml:space="preserve">           Servizio Lampade Votive</w:t>
      </w:r>
      <w:r w:rsidRPr="005E7FD9">
        <w:rPr>
          <w:rFonts w:ascii="Century Gothic" w:eastAsia="Calibri" w:hAnsi="Century Gothic"/>
          <w:b/>
          <w:i/>
          <w:sz w:val="44"/>
          <w:szCs w:val="44"/>
          <w:u w:val="single"/>
          <w:lang w:eastAsia="en-US"/>
        </w:rPr>
        <w:t>___</w:t>
      </w:r>
      <w:r>
        <w:rPr>
          <w:rFonts w:ascii="Century Gothic" w:eastAsia="Calibri" w:hAnsi="Century Gothic"/>
          <w:b/>
          <w:i/>
          <w:sz w:val="44"/>
          <w:szCs w:val="44"/>
          <w:u w:val="single"/>
          <w:lang w:eastAsia="en-US"/>
        </w:rPr>
        <w:t>__</w:t>
      </w:r>
      <w:r w:rsidRPr="005E7FD9">
        <w:rPr>
          <w:rFonts w:ascii="Century Gothic" w:eastAsia="Calibri" w:hAnsi="Century Gothic"/>
          <w:b/>
          <w:i/>
          <w:sz w:val="44"/>
          <w:szCs w:val="44"/>
          <w:u w:val="single"/>
          <w:lang w:eastAsia="en-US"/>
        </w:rPr>
        <w:t xml:space="preserve">_ </w:t>
      </w:r>
    </w:p>
    <w:p w:rsidR="005E7FD9" w:rsidRPr="00E518C4" w:rsidRDefault="005E7FD9" w:rsidP="005E7FD9">
      <w:pPr>
        <w:ind w:left="708"/>
        <w:rPr>
          <w:rFonts w:ascii="Century Gothic" w:eastAsia="Calibri" w:hAnsi="Century Gothic"/>
          <w:sz w:val="22"/>
          <w:szCs w:val="22"/>
          <w:lang w:eastAsia="en-US"/>
        </w:rPr>
      </w:pPr>
      <w:r w:rsidRPr="005E7FD9">
        <w:rPr>
          <w:rFonts w:ascii="Century Gothic" w:eastAsia="Calibri" w:hAnsi="Century Gothic"/>
          <w:sz w:val="44"/>
          <w:szCs w:val="44"/>
          <w:lang w:eastAsia="en-US"/>
        </w:rPr>
        <w:t xml:space="preserve">                   </w:t>
      </w:r>
      <w:r>
        <w:rPr>
          <w:rFonts w:ascii="Century Gothic" w:eastAsia="Calibri" w:hAnsi="Century Gothic"/>
          <w:sz w:val="44"/>
          <w:szCs w:val="44"/>
          <w:lang w:eastAsia="en-US"/>
        </w:rPr>
        <w:t xml:space="preserve">      </w:t>
      </w:r>
    </w:p>
    <w:p w:rsidR="005E7FD9" w:rsidRPr="00E518C4" w:rsidRDefault="005E7FD9" w:rsidP="005E7FD9">
      <w:pPr>
        <w:ind w:left="708"/>
        <w:rPr>
          <w:rFonts w:ascii="Century Gothic" w:eastAsia="Calibri" w:hAnsi="Century Gothic"/>
          <w:sz w:val="22"/>
          <w:szCs w:val="22"/>
          <w:lang w:eastAsia="en-US"/>
        </w:rPr>
      </w:pPr>
      <w:r w:rsidRPr="00E518C4">
        <w:rPr>
          <w:rFonts w:ascii="Century Gothic" w:eastAsia="Calibri" w:hAnsi="Century Gothic"/>
          <w:sz w:val="22"/>
          <w:szCs w:val="22"/>
          <w:lang w:eastAsia="en-US"/>
        </w:rPr>
        <w:t xml:space="preserve">                                 </w:t>
      </w:r>
    </w:p>
    <w:p w:rsidR="005E7FD9" w:rsidRPr="005E7FD9" w:rsidRDefault="005E7FD9" w:rsidP="005E7FD9">
      <w:pPr>
        <w:shd w:val="clear" w:color="auto" w:fill="FFFFFF"/>
        <w:spacing w:before="75"/>
        <w:ind w:right="75"/>
        <w:outlineLvl w:val="2"/>
        <w:rPr>
          <w:rFonts w:ascii="Century Gothic" w:eastAsia="Calibri" w:hAnsi="Century Gothic"/>
          <w:b/>
          <w:bCs/>
          <w:color w:val="595959"/>
          <w:sz w:val="48"/>
          <w:szCs w:val="48"/>
        </w:rPr>
      </w:pPr>
      <w:r>
        <w:rPr>
          <w:rFonts w:ascii="Century Gothic" w:eastAsia="Calibri" w:hAnsi="Century Gothic"/>
          <w:b/>
          <w:bCs/>
          <w:color w:val="595959"/>
        </w:rPr>
        <w:t xml:space="preserve">                           </w:t>
      </w:r>
      <w:r w:rsidRPr="005E7FD9">
        <w:rPr>
          <w:rFonts w:ascii="Century Gothic" w:eastAsia="Calibri" w:hAnsi="Century Gothic"/>
          <w:b/>
          <w:bCs/>
          <w:color w:val="595959"/>
          <w:sz w:val="48"/>
          <w:szCs w:val="48"/>
        </w:rPr>
        <w:t>Canone annuale lampade votive Civico Cimitero</w:t>
      </w:r>
    </w:p>
    <w:p w:rsidR="005E7FD9" w:rsidRPr="005E7FD9" w:rsidRDefault="005E7FD9" w:rsidP="005E7FD9">
      <w:pPr>
        <w:shd w:val="clear" w:color="auto" w:fill="FFFFFF"/>
        <w:spacing w:before="75" w:after="75"/>
        <w:ind w:left="75" w:right="75"/>
        <w:jc w:val="center"/>
        <w:outlineLvl w:val="2"/>
        <w:rPr>
          <w:rFonts w:ascii="Century Gothic" w:eastAsia="Calibri" w:hAnsi="Century Gothic"/>
          <w:color w:val="000000"/>
          <w:sz w:val="48"/>
          <w:szCs w:val="48"/>
        </w:rPr>
      </w:pPr>
      <w:r w:rsidRPr="005E7FD9">
        <w:rPr>
          <w:rFonts w:ascii="Century Gothic" w:eastAsia="Calibri" w:hAnsi="Century Gothic"/>
          <w:b/>
          <w:bCs/>
          <w:color w:val="595959"/>
          <w:sz w:val="48"/>
          <w:szCs w:val="48"/>
        </w:rPr>
        <w:t>ANNO 2024</w:t>
      </w:r>
    </w:p>
    <w:p w:rsidR="005E7FD9" w:rsidRPr="005E7FD9" w:rsidRDefault="005E7FD9" w:rsidP="005E7FD9">
      <w:pPr>
        <w:shd w:val="clear" w:color="auto" w:fill="FFFFFF"/>
        <w:spacing w:before="75" w:after="75"/>
        <w:ind w:left="75" w:right="75"/>
        <w:jc w:val="both"/>
        <w:rPr>
          <w:rFonts w:ascii="Century Gothic" w:eastAsia="Calibri" w:hAnsi="Century Gothic"/>
          <w:color w:val="000000"/>
          <w:sz w:val="32"/>
          <w:szCs w:val="32"/>
        </w:rPr>
      </w:pPr>
      <w:r w:rsidRPr="005E7FD9">
        <w:rPr>
          <w:rFonts w:ascii="Century Gothic" w:eastAsia="Calibri" w:hAnsi="Century Gothic"/>
          <w:b/>
          <w:bCs/>
          <w:color w:val="000000"/>
          <w:sz w:val="32"/>
          <w:szCs w:val="32"/>
        </w:rPr>
        <w:t>SI INFORMA</w:t>
      </w:r>
      <w:r w:rsidRPr="005E7FD9">
        <w:rPr>
          <w:rFonts w:ascii="Century Gothic" w:eastAsia="Calibri" w:hAnsi="Century Gothic"/>
          <w:color w:val="000000"/>
          <w:sz w:val="32"/>
          <w:szCs w:val="32"/>
        </w:rPr>
        <w:t> </w:t>
      </w:r>
    </w:p>
    <w:p w:rsidR="005E7FD9" w:rsidRPr="005E7FD9" w:rsidRDefault="005E7FD9" w:rsidP="005E7FD9">
      <w:pPr>
        <w:shd w:val="clear" w:color="auto" w:fill="FFFFFF"/>
        <w:spacing w:before="75" w:after="75"/>
        <w:ind w:left="75" w:right="75"/>
        <w:jc w:val="both"/>
        <w:rPr>
          <w:rFonts w:ascii="Century Gothic" w:eastAsia="Calibri" w:hAnsi="Century Gothic"/>
          <w:color w:val="000000"/>
          <w:sz w:val="32"/>
          <w:szCs w:val="32"/>
        </w:rPr>
      </w:pPr>
      <w:r w:rsidRPr="005E7FD9">
        <w:rPr>
          <w:rFonts w:ascii="Century Gothic" w:eastAsia="Calibri" w:hAnsi="Century Gothic"/>
          <w:color w:val="000000"/>
          <w:sz w:val="32"/>
          <w:szCs w:val="32"/>
        </w:rPr>
        <w:t>Che è in scadenza il pagamento del canone annuale del Servizio illuminazione tombe del Cimitero Comunale per l'anno 2024.</w:t>
      </w:r>
    </w:p>
    <w:p w:rsidR="005E7FD9" w:rsidRPr="005E7FD9" w:rsidRDefault="005E7FD9" w:rsidP="005E7FD9">
      <w:pPr>
        <w:shd w:val="clear" w:color="auto" w:fill="FFFFFF"/>
        <w:spacing w:before="75" w:after="75"/>
        <w:ind w:left="75" w:right="75"/>
        <w:rPr>
          <w:rFonts w:ascii="Century Gothic" w:eastAsia="Calibri" w:hAnsi="Century Gothic"/>
          <w:color w:val="000000"/>
          <w:sz w:val="32"/>
          <w:szCs w:val="32"/>
        </w:rPr>
      </w:pPr>
      <w:r w:rsidRPr="005E7FD9">
        <w:rPr>
          <w:rFonts w:ascii="Century Gothic" w:eastAsia="Calibri" w:hAnsi="Century Gothic"/>
          <w:color w:val="000000"/>
          <w:sz w:val="32"/>
          <w:szCs w:val="32"/>
        </w:rPr>
        <w:t xml:space="preserve">Il costo del </w:t>
      </w:r>
      <w:r w:rsidRPr="005E7FD9">
        <w:rPr>
          <w:rFonts w:ascii="Century Gothic" w:eastAsia="Calibri" w:hAnsi="Century Gothic"/>
          <w:color w:val="000000"/>
          <w:sz w:val="32"/>
          <w:szCs w:val="32"/>
          <w:u w:val="single"/>
        </w:rPr>
        <w:t>canone annuo</w:t>
      </w:r>
      <w:r w:rsidRPr="005E7FD9">
        <w:rPr>
          <w:rFonts w:ascii="Century Gothic" w:eastAsia="Calibri" w:hAnsi="Century Gothic"/>
          <w:color w:val="000000"/>
          <w:sz w:val="32"/>
          <w:szCs w:val="32"/>
        </w:rPr>
        <w:t xml:space="preserve"> per ogni lampada votiva è di €</w:t>
      </w:r>
      <w:r w:rsidRPr="005E7FD9">
        <w:rPr>
          <w:rFonts w:ascii="Century Gothic" w:eastAsia="Calibri" w:hAnsi="Century Gothic"/>
          <w:b/>
          <w:color w:val="000000"/>
          <w:sz w:val="32"/>
          <w:szCs w:val="32"/>
        </w:rPr>
        <w:t xml:space="preserve">      15,00 </w:t>
      </w:r>
      <w:r w:rsidRPr="005E7FD9">
        <w:rPr>
          <w:rFonts w:ascii="Century Gothic" w:eastAsia="Calibri" w:hAnsi="Century Gothic"/>
          <w:color w:val="000000"/>
          <w:sz w:val="32"/>
          <w:szCs w:val="32"/>
        </w:rPr>
        <w:t>(iva compresa)</w:t>
      </w:r>
    </w:p>
    <w:p w:rsidR="005E7FD9" w:rsidRPr="005E7FD9" w:rsidRDefault="005E7FD9" w:rsidP="005E7FD9">
      <w:pPr>
        <w:shd w:val="clear" w:color="auto" w:fill="FFFFFF"/>
        <w:tabs>
          <w:tab w:val="left" w:pos="6435"/>
        </w:tabs>
        <w:spacing w:before="75" w:after="75"/>
        <w:ind w:left="75" w:right="75"/>
        <w:rPr>
          <w:rFonts w:ascii="Century Gothic" w:eastAsia="Calibri" w:hAnsi="Century Gothic"/>
          <w:b/>
          <w:color w:val="000000"/>
          <w:sz w:val="32"/>
          <w:szCs w:val="32"/>
        </w:rPr>
      </w:pPr>
      <w:r w:rsidRPr="005E7FD9">
        <w:rPr>
          <w:rFonts w:ascii="Century Gothic" w:eastAsia="Calibri" w:hAnsi="Century Gothic"/>
          <w:color w:val="000000"/>
          <w:sz w:val="32"/>
          <w:szCs w:val="32"/>
        </w:rPr>
        <w:t xml:space="preserve">Spese amministrative/postali                                                  €        </w:t>
      </w:r>
      <w:r w:rsidRPr="005E7FD9">
        <w:rPr>
          <w:rFonts w:ascii="Century Gothic" w:eastAsia="Calibri" w:hAnsi="Century Gothic"/>
          <w:b/>
          <w:color w:val="000000"/>
          <w:sz w:val="32"/>
          <w:szCs w:val="32"/>
        </w:rPr>
        <w:t>1,00</w:t>
      </w:r>
    </w:p>
    <w:p w:rsidR="005E7FD9" w:rsidRPr="005E7FD9" w:rsidRDefault="005E7FD9" w:rsidP="005E7FD9">
      <w:pPr>
        <w:shd w:val="clear" w:color="auto" w:fill="FFFFFF"/>
        <w:tabs>
          <w:tab w:val="left" w:pos="6435"/>
        </w:tabs>
        <w:spacing w:after="75"/>
        <w:ind w:left="75" w:right="75"/>
        <w:rPr>
          <w:rFonts w:ascii="Century Gothic" w:eastAsia="Calibri" w:hAnsi="Century Gothic"/>
          <w:color w:val="000000"/>
          <w:sz w:val="32"/>
          <w:szCs w:val="32"/>
        </w:rPr>
      </w:pPr>
      <w:r w:rsidRPr="005E7FD9">
        <w:rPr>
          <w:rFonts w:ascii="Century Gothic" w:eastAsia="Calibri" w:hAnsi="Century Gothic"/>
          <w:i/>
          <w:color w:val="000000"/>
          <w:sz w:val="32"/>
          <w:szCs w:val="32"/>
        </w:rPr>
        <w:t>Si ricorda che</w:t>
      </w:r>
      <w:r w:rsidRPr="005E7FD9">
        <w:rPr>
          <w:rFonts w:ascii="Century Gothic" w:eastAsia="Calibri" w:hAnsi="Century Gothic"/>
          <w:color w:val="000000"/>
          <w:sz w:val="32"/>
          <w:szCs w:val="32"/>
        </w:rPr>
        <w:t>:</w:t>
      </w:r>
    </w:p>
    <w:p w:rsidR="005E7FD9" w:rsidRPr="005E7FD9" w:rsidRDefault="005E7FD9" w:rsidP="005E7FD9">
      <w:pPr>
        <w:shd w:val="clear" w:color="auto" w:fill="FFFFFF"/>
        <w:tabs>
          <w:tab w:val="left" w:pos="6435"/>
        </w:tabs>
        <w:spacing w:after="75"/>
        <w:ind w:left="75" w:right="75"/>
        <w:rPr>
          <w:rFonts w:ascii="Century Gothic" w:eastAsia="Calibri" w:hAnsi="Century Gothic"/>
          <w:i/>
          <w:color w:val="000000"/>
          <w:sz w:val="32"/>
          <w:szCs w:val="32"/>
        </w:rPr>
      </w:pPr>
      <w:r w:rsidRPr="005E7FD9">
        <w:rPr>
          <w:rFonts w:ascii="Century Gothic" w:eastAsia="Calibri" w:hAnsi="Century Gothic"/>
          <w:i/>
          <w:color w:val="000000"/>
          <w:sz w:val="32"/>
          <w:szCs w:val="32"/>
        </w:rPr>
        <w:t>L’autorizzazione ha validità per l’anno solare e si intende tacitamente rinnovata di anno in anno;</w:t>
      </w:r>
    </w:p>
    <w:p w:rsidR="005E7FD9" w:rsidRPr="005E7FD9" w:rsidRDefault="005E7FD9" w:rsidP="005E7FD9">
      <w:pPr>
        <w:numPr>
          <w:ilvl w:val="0"/>
          <w:numId w:val="1"/>
        </w:numPr>
        <w:shd w:val="clear" w:color="auto" w:fill="FFFFFF"/>
        <w:spacing w:before="100" w:beforeAutospacing="1" w:after="100" w:afterAutospacing="1" w:line="276" w:lineRule="auto"/>
        <w:jc w:val="both"/>
        <w:rPr>
          <w:rFonts w:ascii="Century Gothic" w:eastAsia="Calibri" w:hAnsi="Century Gothic"/>
          <w:i/>
          <w:color w:val="000000"/>
          <w:sz w:val="32"/>
          <w:szCs w:val="32"/>
        </w:rPr>
      </w:pPr>
      <w:r w:rsidRPr="005E7FD9">
        <w:rPr>
          <w:rFonts w:ascii="Century Gothic" w:eastAsia="Calibri" w:hAnsi="Century Gothic"/>
          <w:i/>
          <w:color w:val="000000"/>
          <w:sz w:val="32"/>
          <w:szCs w:val="32"/>
        </w:rPr>
        <w:t>Nel caso in cui l’utente intenda rinunciare al servizio in parola, dovrà darne disdetta a mezzo di lettera raccomandata, email. o direttamente presso gli uffici Comunali entro il mese di Ottobre;</w:t>
      </w:r>
    </w:p>
    <w:p w:rsidR="005E7FD9" w:rsidRPr="005E7FD9" w:rsidRDefault="005E7FD9" w:rsidP="005E7FD9">
      <w:pPr>
        <w:numPr>
          <w:ilvl w:val="0"/>
          <w:numId w:val="1"/>
        </w:numPr>
        <w:shd w:val="clear" w:color="auto" w:fill="FFFFFF"/>
        <w:spacing w:before="100" w:beforeAutospacing="1" w:after="100" w:afterAutospacing="1" w:line="276" w:lineRule="auto"/>
        <w:jc w:val="both"/>
        <w:rPr>
          <w:rFonts w:ascii="Century Gothic" w:eastAsia="Calibri" w:hAnsi="Century Gothic"/>
          <w:i/>
          <w:color w:val="000000"/>
          <w:sz w:val="32"/>
          <w:szCs w:val="32"/>
        </w:rPr>
      </w:pPr>
      <w:r w:rsidRPr="005E7FD9">
        <w:rPr>
          <w:rFonts w:ascii="Century Gothic" w:eastAsia="Calibri" w:hAnsi="Century Gothic"/>
          <w:i/>
          <w:color w:val="000000"/>
          <w:sz w:val="32"/>
          <w:szCs w:val="32"/>
        </w:rPr>
        <w:t>In caso di mancato o ritardato pagamento del canone, l’Amministrazione Comunale è autorizzata ad interrompere l'erogazione dell'energia elettrica;</w:t>
      </w:r>
    </w:p>
    <w:p w:rsidR="005E7FD9" w:rsidRPr="005E7FD9" w:rsidRDefault="005E7FD9" w:rsidP="005E7FD9">
      <w:pPr>
        <w:numPr>
          <w:ilvl w:val="0"/>
          <w:numId w:val="1"/>
        </w:numPr>
        <w:shd w:val="clear" w:color="auto" w:fill="FFFFFF"/>
        <w:spacing w:before="100" w:beforeAutospacing="1" w:after="100" w:afterAutospacing="1" w:line="276" w:lineRule="auto"/>
        <w:jc w:val="both"/>
        <w:rPr>
          <w:rFonts w:ascii="Century Gothic" w:eastAsia="Calibri" w:hAnsi="Century Gothic"/>
          <w:i/>
          <w:color w:val="000000"/>
          <w:sz w:val="32"/>
          <w:szCs w:val="32"/>
        </w:rPr>
      </w:pPr>
      <w:r w:rsidRPr="005E7FD9">
        <w:rPr>
          <w:rFonts w:ascii="Century Gothic" w:eastAsia="Calibri" w:hAnsi="Century Gothic"/>
          <w:i/>
          <w:color w:val="000000"/>
          <w:sz w:val="32"/>
          <w:szCs w:val="32"/>
        </w:rPr>
        <w:t>Per quanto non espressamente riportato nelle suddette norme e modalità, saranno valide le disposizioni del Codice Civile.</w:t>
      </w:r>
    </w:p>
    <w:p w:rsidR="005E7FD9" w:rsidRPr="005E7FD9" w:rsidRDefault="005E7FD9" w:rsidP="005E7FD9">
      <w:pPr>
        <w:numPr>
          <w:ilvl w:val="0"/>
          <w:numId w:val="1"/>
        </w:numPr>
        <w:shd w:val="clear" w:color="auto" w:fill="FFFFFF"/>
        <w:spacing w:before="100" w:beforeAutospacing="1" w:after="100" w:afterAutospacing="1" w:line="276" w:lineRule="auto"/>
        <w:jc w:val="both"/>
        <w:rPr>
          <w:rFonts w:ascii="Century Gothic" w:eastAsia="Calibri" w:hAnsi="Century Gothic"/>
          <w:i/>
          <w:color w:val="000000"/>
          <w:sz w:val="32"/>
          <w:szCs w:val="32"/>
        </w:rPr>
      </w:pPr>
      <w:r w:rsidRPr="005E7FD9">
        <w:rPr>
          <w:rFonts w:ascii="Century Gothic" w:eastAsia="Calibri" w:hAnsi="Century Gothic"/>
          <w:i/>
          <w:color w:val="000000"/>
          <w:sz w:val="32"/>
          <w:szCs w:val="32"/>
        </w:rPr>
        <w:t xml:space="preserve">Il servizio di allacciamento viene effettuato esclusivamente da personale appositamente incaricato dal Comune. Il servizio viene effettuato utilizzando lampade di tipo unico che verranno fornite dal Comune al quale spetta la manutenzione ordinaria degli impianti e l'eventuale sostituzione delle lampade.  </w:t>
      </w:r>
    </w:p>
    <w:p w:rsidR="005E7FD9" w:rsidRPr="005E7FD9" w:rsidRDefault="005E7FD9" w:rsidP="005E7FD9">
      <w:pPr>
        <w:numPr>
          <w:ilvl w:val="0"/>
          <w:numId w:val="1"/>
        </w:numPr>
        <w:shd w:val="clear" w:color="auto" w:fill="FFFFFF"/>
        <w:spacing w:before="100" w:beforeAutospacing="1"/>
        <w:jc w:val="both"/>
        <w:rPr>
          <w:rFonts w:ascii="Century Gothic" w:eastAsia="Calibri" w:hAnsi="Century Gothic"/>
          <w:color w:val="000000"/>
          <w:sz w:val="32"/>
          <w:szCs w:val="32"/>
        </w:rPr>
      </w:pPr>
      <w:r w:rsidRPr="005E7FD9">
        <w:rPr>
          <w:rFonts w:ascii="Century Gothic" w:eastAsia="Calibri" w:hAnsi="Century Gothic"/>
          <w:i/>
          <w:color w:val="000000"/>
          <w:sz w:val="32"/>
          <w:szCs w:val="32"/>
        </w:rPr>
        <w:t xml:space="preserve">Il pagamento del canone annuo di consumo dovrà avvenire tramite versamento al Comune a mezzo di bollettino che il Responsabile del servizio competente dovrà trasmettere agli utenti Nell'anno cui si riferiscono i consumi. Qualora l'utente non abbia ricevuto entro il mese di OTTOBRE il relativo bollettino, egli ha l'onere di richiedere nel mese successivo direttamente all'ufficio comunale competente la determinazione della somma da pagare per il servizio. Il pagamento deve essere effettuato entro il termine perentorio del mese successivo. Qualora l'utente non provveda al pagamento entro i termini fissati, l'ufficio comunale competente provvederà ad inviare tramite lettera raccomandata con avviso di ricevimento, con spese a carico dell'utente. Il pagamento delle somme suddette dovrà avvenire entro quindici giorni dalla data di ricevimento dell'avviso di sollecito. Trascorsi inutilmente i termini di cui al comma precedente, l'ufficio comunale competente provvederà all’interruzione del servizio ed al recupero delle somme dovute nelle forme coattive previste dalla legge. Qualora l'utente presenti nuova domanda è obbligato preventivamente ad estinguere il debito preesistente nei confronti del Comune per le somme non corrisposte, comprensive altresì di quelle relative al ritardato pagamento. Nonostante l'estinzione del debito, l'utente è comunque tenuto a presentare nuova domanda e a pagare la relativa quota di allacciamento </w:t>
      </w:r>
    </w:p>
    <w:p w:rsidR="005E7FD9" w:rsidRPr="005E7FD9" w:rsidRDefault="005E7FD9" w:rsidP="005E7FD9">
      <w:pPr>
        <w:shd w:val="clear" w:color="auto" w:fill="FFFFFF"/>
        <w:spacing w:before="100" w:beforeAutospacing="1" w:after="100" w:afterAutospacing="1" w:line="276" w:lineRule="auto"/>
        <w:ind w:left="720"/>
        <w:jc w:val="both"/>
        <w:rPr>
          <w:rFonts w:ascii="Century Gothic" w:eastAsia="Calibri" w:hAnsi="Century Gothic"/>
          <w:color w:val="000000"/>
          <w:sz w:val="32"/>
          <w:szCs w:val="32"/>
        </w:rPr>
      </w:pPr>
      <w:r w:rsidRPr="005E7FD9">
        <w:rPr>
          <w:rFonts w:ascii="Century Gothic" w:eastAsia="Calibri" w:hAnsi="Century Gothic"/>
          <w:color w:val="000000"/>
          <w:sz w:val="32"/>
          <w:szCs w:val="32"/>
        </w:rPr>
        <w:t xml:space="preserve">Qualora esistessero delle discordanze, si prega di comunicare i dati corretti all’Ufficio Servizio Lampade Votive presso il Comune di Porano - Tel. 0763 374462 int.3- email </w:t>
      </w:r>
      <w:hyperlink r:id="rId7" w:history="1">
        <w:r w:rsidRPr="005E7FD9">
          <w:rPr>
            <w:rFonts w:ascii="Century Gothic" w:eastAsia="Calibri" w:hAnsi="Century Gothic"/>
            <w:color w:val="0000FF"/>
            <w:sz w:val="32"/>
            <w:szCs w:val="32"/>
            <w:u w:val="single"/>
          </w:rPr>
          <w:t>marzia.coppola@comune.porano.tr.it</w:t>
        </w:r>
      </w:hyperlink>
      <w:r w:rsidRPr="005E7FD9">
        <w:rPr>
          <w:rFonts w:ascii="Century Gothic" w:eastAsia="Calibri" w:hAnsi="Century Gothic"/>
          <w:color w:val="000000"/>
          <w:sz w:val="32"/>
          <w:szCs w:val="32"/>
        </w:rPr>
        <w:tab/>
      </w:r>
    </w:p>
    <w:p w:rsidR="00E616CE" w:rsidRPr="005E7FD9" w:rsidRDefault="005E7FD9" w:rsidP="005E7FD9">
      <w:pPr>
        <w:shd w:val="clear" w:color="auto" w:fill="FFFFFF"/>
        <w:spacing w:before="100" w:beforeAutospacing="1" w:after="100" w:afterAutospacing="1"/>
        <w:jc w:val="both"/>
        <w:rPr>
          <w:rFonts w:ascii="Century Gothic" w:eastAsia="Calibri" w:hAnsi="Century Gothic"/>
          <w:b/>
          <w:color w:val="000000"/>
          <w:sz w:val="32"/>
          <w:szCs w:val="32"/>
          <w:u w:val="single"/>
        </w:rPr>
      </w:pPr>
      <w:r w:rsidRPr="005E7FD9">
        <w:rPr>
          <w:rFonts w:ascii="Century Gothic" w:eastAsia="Calibri" w:hAnsi="Century Gothic"/>
          <w:color w:val="000000"/>
          <w:sz w:val="32"/>
          <w:szCs w:val="32"/>
        </w:rPr>
        <w:t xml:space="preserve">          </w:t>
      </w:r>
      <w:r w:rsidRPr="005E7FD9">
        <w:rPr>
          <w:rFonts w:ascii="Century Gothic" w:eastAsia="Calibri" w:hAnsi="Century Gothic"/>
          <w:color w:val="000000"/>
          <w:sz w:val="32"/>
          <w:szCs w:val="32"/>
        </w:rPr>
        <w:tab/>
      </w:r>
    </w:p>
    <w:sectPr w:rsidR="00E616CE" w:rsidRPr="005E7FD9" w:rsidSect="005E7FD9">
      <w:pgSz w:w="16839" w:h="23814" w:code="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76CE7"/>
    <w:multiLevelType w:val="multilevel"/>
    <w:tmpl w:val="51CC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9"/>
    <w:rsid w:val="005E7FD9"/>
    <w:rsid w:val="00644111"/>
    <w:rsid w:val="0083607F"/>
    <w:rsid w:val="00E616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DC8C3-6588-4C44-8213-BD650F5E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7F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zia.coppola@comune.porano.t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472</Words>
  <Characters>2692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Coppola</dc:creator>
  <cp:keywords/>
  <dc:description/>
  <cp:lastModifiedBy>Coppola</cp:lastModifiedBy>
  <cp:revision>2</cp:revision>
  <dcterms:created xsi:type="dcterms:W3CDTF">2024-08-13T07:14:00Z</dcterms:created>
  <dcterms:modified xsi:type="dcterms:W3CDTF">2024-08-14T07:32:00Z</dcterms:modified>
</cp:coreProperties>
</file>